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malachi-2"/>
    <w:p>
      <w:pPr>
        <w:pStyle w:val="Heading1"/>
      </w:pPr>
      <w:r>
        <w:t xml:space="preserve">Homiletics Analysis: Malachi 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 Malachi as a Whole:</w:t>
      </w:r>
      <w:r>
        <w:t xml:space="preserve"> </w:t>
      </w:r>
      <w:r>
        <w:t xml:space="preserve">Malachi is structured as a series of divine disputations — God making a charge, Israel disputing it, and God substantiating it with evidence. Chapter 2 sits at the structural center of this dispute cycle. Chapter 1 opened with God’s declaration of covenant love (1:1–5) and immediately pivoted to a devastating indictment of the priests for offering polluted sacrifices. Chapter 2 continues and intensifies that priestly indictment before pivoting in its second half to the covenant faithlessness of the people in marriage and divorce. Chapter 3 will announce the coming messenger and the purifying judgment of God. Chapter 2 is the passage where God names the</w:t>
      </w:r>
      <w:r>
        <w:t xml:space="preserve"> </w:t>
      </w:r>
      <w:r>
        <w:rPr>
          <w:i/>
          <w:iCs/>
        </w:rPr>
        <w:t xml:space="preserve">mechanism</w:t>
      </w:r>
      <w:r>
        <w:t xml:space="preserve"> </w:t>
      </w:r>
      <w:r>
        <w:t xml:space="preserve">of Israel’s failure: the priests have abandoned their covenant vocation, and the people have followed their leaders into covenant infidelity. Understanding Chapter 2 as part of this broader disputation cycle illuminates its rhetorical urgency, but the chapter makes its own complete and coherent claim within that cycle.</w:t>
      </w:r>
    </w:p>
    <w:p>
      <w:pPr>
        <w:pStyle w:val="BodyText"/>
      </w:pPr>
      <w:r>
        <w:rPr>
          <w:b/>
          <w:bCs/>
        </w:rPr>
        <w:t xml:space="preserve">This Text — Content:</w:t>
      </w:r>
      <w:r>
        <w:t xml:space="preserve"> </w:t>
      </w:r>
      <w:r>
        <w:t xml:space="preserve">Malachi 2 falls into two distinct but unified movements. The first (vv. 1–9) is a direct, formal indictment of the priests. God warns them that the covenant with Levi is being revoked because they have failed in their central vocation: to fear God, to teach true instruction (</w:t>
      </w:r>
      <w:r>
        <w:rPr>
          <w:i/>
          <w:iCs/>
        </w:rPr>
        <w:t xml:space="preserve">torah</w:t>
      </w:r>
      <w:r>
        <w:t xml:space="preserve">), and to turn many from iniquity. Instead, they have shown partiality in instruction and caused many to stumble. The curse that was once attached to faithless offerings (1:14) is now attached to the priests themselves — including the blessing of their households. The second movement (vv. 10–16) pivots to the people’s covenant faithlessness in marriage: intermarriage with those devoted to foreign gods (vv. 11–12) and the treacherous divorce of the wives of their youth (vv. 13–16). Both failures are gathered under the single covenant concept of</w:t>
      </w:r>
      <w:r>
        <w:t xml:space="preserve"> </w:t>
      </w:r>
      <w:r>
        <w:rPr>
          <w:i/>
          <w:iCs/>
        </w:rPr>
        <w:t xml:space="preserve">faithlessness</w:t>
      </w:r>
      <w:r>
        <w:t xml:space="preserve"> </w:t>
      </w:r>
      <w:r>
        <w:t xml:space="preserve">(the Hebrew root</w:t>
      </w:r>
      <w:r>
        <w:t xml:space="preserve"> </w:t>
      </w:r>
      <w:r>
        <w:rPr>
          <w:i/>
          <w:iCs/>
        </w:rPr>
        <w:t xml:space="preserve">bagad</w:t>
      </w:r>
      <w:r>
        <w:t xml:space="preserve"> </w:t>
      </w:r>
      <w:r>
        <w:t xml:space="preserve">— to act treacherously — appears multiple times). The chapter closes with a pointed challenge:</w:t>
      </w:r>
      <w:r>
        <w:t xml:space="preserve"> </w:t>
      </w:r>
      <w:r>
        <w:t xml:space="preserve">“Do not be faithless”</w:t>
      </w:r>
      <w:r>
        <w:t xml:space="preserve"> </w:t>
      </w:r>
      <w:r>
        <w:t xml:space="preserve">(v. 16b).</w:t>
      </w:r>
    </w:p>
    <w:p>
      <w:pPr>
        <w:pStyle w:val="BodyText"/>
      </w:pPr>
      <w:r>
        <w:rPr>
          <w:b/>
          <w:bCs/>
        </w:rPr>
        <w:t xml:space="preserve">This Text — Intent:</w:t>
      </w:r>
      <w:r>
        <w:t xml:space="preserve"> </w:t>
      </w:r>
      <w:r>
        <w:t xml:space="preserve">God’s intent through this passage is to expose the cascading consequences of covenant unfaithfulness at every level of Israel’s life — and to produce in the reader a sobering recognition that faithlessness is not a private matter. It corrupts downward from leaders to people, outward from worship to marriage, and inward from behavior to the heart. God is seeking to break the casual complacency with which Israel has drifted from covenant faithfulness, by naming the drift clearly, naming its consequences with specificity, and restoring the weight of the word</w:t>
      </w:r>
      <w:r>
        <w:t xml:space="preserve"> </w:t>
      </w:r>
      <w:r>
        <w:rPr>
          <w:i/>
          <w:iCs/>
        </w:rPr>
        <w:t xml:space="preserve">faithlessness</w:t>
      </w:r>
      <w:r>
        <w:t xml:space="preserve"> </w:t>
      </w:r>
      <w:r>
        <w:t xml:space="preserve">to its full covenant gravity. The intent is not merely information about Israel’s failures — it is a call to wake up before the revocation of covenant blessing becomes irreversible.</w:t>
      </w:r>
    </w:p>
    <w:p>
      <w:r>
        <w:pict>
          <v:rect style="width:0;height:1.5pt" o:hralign="center" o:hrstd="t" o:hr="t"/>
        </w:pict>
      </w:r>
    </w:p>
    <w:p>
      <w:pPr>
        <w:pStyle w:val="FirstParagraph"/>
      </w:pPr>
      <w:r>
        <w:rPr>
          <w:b/>
          <w:bCs/>
        </w:rPr>
        <w:t xml:space="preserve">Subject Sentence:</w:t>
      </w:r>
      <w:r>
        <w:t xml:space="preserve"> </w:t>
      </w:r>
      <w:r>
        <w:t xml:space="preserve">Covenant faithlessness corrupts Israel from the priesthood outward and from the altar into marriage.</w:t>
      </w:r>
    </w:p>
    <w:p>
      <w:r>
        <w:pict>
          <v:rect style="width:0;height:1.5pt" o:hralign="center" o:hrstd="t" o:hr="t"/>
        </w:pict>
      </w:r>
    </w:p>
    <w:p>
      <w:pPr>
        <w:pStyle w:val="FirstParagraph"/>
      </w:pPr>
      <w:r>
        <w:rPr>
          <w:b/>
          <w:bCs/>
        </w:rPr>
        <w:t xml:space="preserve">Primary Claim:</w:t>
      </w:r>
      <w:r>
        <w:t xml:space="preserve"> </w:t>
      </w:r>
      <w:r>
        <w:t xml:space="preserve">God confronts cascading covenant faithlessness — in priest and people alike — because faithlessness is never contained: it spreads, it defiles, and it invites judgment unless it is named, owned, and repented of.</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Priestly Covenant and Its Revocation (vv. 1–9):</w:t>
      </w:r>
      <w:r>
        <w:t xml:space="preserve"> </w:t>
      </w:r>
      <w:r>
        <w:t xml:space="preserve">The dominant question in this section is the nature and status of the</w:t>
      </w:r>
      <w:r>
        <w:t xml:space="preserve"> </w:t>
      </w:r>
      <w:r>
        <w:t xml:space="preserve">“covenant with Levi”</w:t>
      </w:r>
      <w:r>
        <w:t xml:space="preserve"> </w:t>
      </w:r>
      <w:r>
        <w:t xml:space="preserve">(v. 4). Dispensational interpreters sometimes restrict this covenant strictly to the Levitical priesthood as an institution, with its revocation applying only to Israel’s national-priestly structure. This reading captures the immediate referent but underreads the passage’s rhetorical reach. The covenant with Levi in Malachi is not merely institutional — it is vocational and relational: priests were to</w:t>
      </w:r>
      <w:r>
        <w:t xml:space="preserve"> </w:t>
      </w:r>
      <w:r>
        <w:t xml:space="preserve">“walk with me in peace and uprightness, and turn many from iniquity”</w:t>
      </w:r>
      <w:r>
        <w:t xml:space="preserve"> </w:t>
      </w:r>
      <w:r>
        <w:t xml:space="preserve">(v. 6). The Reformed reading understands this as a pattern for all who hold teaching and shepherding office in God’s covenant community — the failure of leaders to teach true instruction and to fear God is a timeless covenantal failure, not merely a phase in Israel’s priestly history. This does not collapse the distinction between Levitical priesthood and New Covenant eldership, but it rightly applies the principle: God holds those who speak in His name to a stricter account. The New Testament explicitly retrieves this logic (James 3:1; 1 Timothy 3; Hebrews 13:17).</w:t>
      </w:r>
    </w:p>
    <w:p>
      <w:pPr>
        <w:pStyle w:val="BodyText"/>
      </w:pPr>
      <w:r>
        <w:rPr>
          <w:b/>
          <w:bCs/>
        </w:rPr>
        <w:t xml:space="preserve">Verse 10 —</w:t>
      </w:r>
      <w:r>
        <w:rPr>
          <w:b/>
          <w:bCs/>
        </w:rPr>
        <w:t xml:space="preserve"> </w:t>
      </w:r>
      <w:r>
        <w:rPr>
          <w:b/>
          <w:bCs/>
        </w:rPr>
        <w:t xml:space="preserve">“Have we not all one Father?”</w:t>
      </w:r>
      <w:r>
        <w:rPr>
          <w:b/>
          <w:bCs/>
        </w:rPr>
        <w:t xml:space="preserve">:</w:t>
      </w:r>
      <w:r>
        <w:t xml:space="preserve"> </w:t>
      </w:r>
      <w:r>
        <w:t xml:space="preserve">This verse is sometimes read universalistically (all human beings are brothers because God created everyone), generating an application about racial or social unity that the verse cannot fully sustain in context. The immediate context is Israel’s covenant brotherhood —</w:t>
      </w:r>
      <w:r>
        <w:t xml:space="preserve"> </w:t>
      </w:r>
      <w:r>
        <w:t xml:space="preserve">“the covenant of our fathers”</w:t>
      </w:r>
      <w:r>
        <w:t xml:space="preserve"> </w:t>
      </w:r>
      <w:r>
        <w:t xml:space="preserve">(v. 10b) refers to the Mosaic covenant and the covenant community of Israel. The Reformed reading acknowledges that the creational dimension of fatherhood is not absent (God as creator of all), but it is not the primary load-bearing referent here. The argument is: we are one covenant people under one covenant God — therefore treachery within that community is a betrayal of something sacred, not merely a social wrong. The universalistic reading should be</w:t>
      </w:r>
      <w:r>
        <w:t xml:space="preserve"> </w:t>
      </w:r>
      <w:r>
        <w:rPr>
          <w:i/>
          <w:iCs/>
        </w:rPr>
        <w:t xml:space="preserve">qualified</w:t>
      </w:r>
      <w:r>
        <w:t xml:space="preserve"> </w:t>
      </w:r>
      <w:r>
        <w:t xml:space="preserve">rather than</w:t>
      </w:r>
      <w:r>
        <w:t xml:space="preserve"> </w:t>
      </w:r>
      <w:r>
        <w:rPr>
          <w:i/>
          <w:iCs/>
        </w:rPr>
        <w:t xml:space="preserve">refuted</w:t>
      </w:r>
      <w:r>
        <w:t xml:space="preserve"> </w:t>
      </w:r>
      <w:r>
        <w:t xml:space="preserve">— the creational brotherhood of humanity is a true biblical teaching, but it is not what Malachi 2:10 is primarily establishing.</w:t>
      </w:r>
    </w:p>
    <w:p>
      <w:pPr>
        <w:pStyle w:val="BodyText"/>
      </w:pPr>
      <w:r>
        <w:rPr>
          <w:b/>
          <w:bCs/>
        </w:rPr>
        <w:t xml:space="preserve">Verse 16 —</w:t>
      </w:r>
      <w:r>
        <w:rPr>
          <w:b/>
          <w:bCs/>
        </w:rPr>
        <w:t xml:space="preserve"> </w:t>
      </w:r>
      <w:r>
        <w:rPr>
          <w:b/>
          <w:bCs/>
        </w:rPr>
        <w:t xml:space="preserve">“For I hate divorce”</w:t>
      </w:r>
      <w:r>
        <w:rPr>
          <w:b/>
          <w:bCs/>
        </w:rPr>
        <w:t xml:space="preserve"> </w:t>
      </w:r>
      <w:r>
        <w:rPr>
          <w:b/>
          <w:bCs/>
        </w:rPr>
        <w:t xml:space="preserve">(ESV, NIV, KJV tradition) vs. </w:t>
      </w:r>
      <w:r>
        <w:rPr>
          <w:b/>
          <w:bCs/>
        </w:rPr>
        <w:t xml:space="preserve">“If he hates and divorces”</w:t>
      </w:r>
      <w:r>
        <w:rPr>
          <w:b/>
          <w:bCs/>
        </w:rPr>
        <w:t xml:space="preserve"> </w:t>
      </w:r>
      <w:r>
        <w:rPr>
          <w:b/>
          <w:bCs/>
        </w:rPr>
        <w:t xml:space="preserve">(ESV 2011 mg., NASB 2020, some critical commentators):</w:t>
      </w:r>
      <w:r>
        <w:t xml:space="preserve"> </w:t>
      </w:r>
      <w:r>
        <w:t xml:space="preserve">This is the most significant textual and interpretive controversy in the chapter. The traditional rendering (</w:t>
      </w:r>
      <w:r>
        <w:t xml:space="preserve">“I hate divorce,”</w:t>
      </w:r>
      <w:r>
        <w:t xml:space="preserve"> </w:t>
      </w:r>
      <w:r>
        <w:t xml:space="preserve">ascribing the hatred to God) has governed Christian ethics of marriage for centuries and is well-supported. However, several recent translations and critical commentaries (following the Hebrew</w:t>
      </w:r>
      <w:r>
        <w:t xml:space="preserve"> </w:t>
      </w:r>
      <w:r>
        <w:rPr>
          <w:i/>
          <w:iCs/>
        </w:rPr>
        <w:t xml:space="preserve">śānēʾ</w:t>
      </w:r>
      <w:r>
        <w:t xml:space="preserve">, a third-person singular form, and textual considerations in the LXX) render the verse:</w:t>
      </w:r>
      <w:r>
        <w:t xml:space="preserve"> </w:t>
      </w:r>
      <w:r>
        <w:t xml:space="preserve">“If he hates and divorces...”</w:t>
      </w:r>
      <w:r>
        <w:t xml:space="preserve"> </w:t>
      </w:r>
      <w:r>
        <w:t xml:space="preserve">— making the statement a conditional that exposes the treachery of a man who divorces the wife he has come to hate. Both readings carry moral weight against divorce. The Reformed verdict is: the textual difficulty is real and should not be papered over in exposition, but both readings converge on the same moral conclusion — the dismissal of the wife of one’s youth is</w:t>
      </w:r>
      <w:r>
        <w:t xml:space="preserve"> </w:t>
      </w:r>
      <w:r>
        <w:rPr>
          <w:i/>
          <w:iCs/>
        </w:rPr>
        <w:t xml:space="preserve">bagad</w:t>
      </w:r>
      <w:r>
        <w:t xml:space="preserve">, treachery, a violation of covenant. Whether the statement is</w:t>
      </w:r>
      <w:r>
        <w:t xml:space="preserve"> </w:t>
      </w:r>
      <w:r>
        <w:t xml:space="preserve">“God hates divorce”</w:t>
      </w:r>
      <w:r>
        <w:t xml:space="preserve"> </w:t>
      </w:r>
      <w:r>
        <w:t xml:space="preserve">(divine declaration) or</w:t>
      </w:r>
      <w:r>
        <w:t xml:space="preserve"> </w:t>
      </w:r>
      <w:r>
        <w:t xml:space="preserve">“if a man hates and divorces”</w:t>
      </w:r>
      <w:r>
        <w:t xml:space="preserve"> </w:t>
      </w:r>
      <w:r>
        <w:t xml:space="preserve">(exposure of treachery), the text is unambiguously condemning the behavior and its spirit. Preachers should acknowledge the textual variant honestly, note the convergence of both readings on the moral conclusion, and not build a preaching point on the stronger rendering alone. The Wesleyan/Arminian tradition has sometimes used this verse to argue for no-exception divorce ethics — a position that requires importing this verse’s weight into the entire canon without attending to Matthew 19’s own exception clause. That move should be resisted; Malachi 2:16 is doing specific work in a specific context.</w:t>
      </w:r>
    </w:p>
    <w:p>
      <w:pPr>
        <w:pStyle w:val="BodyText"/>
      </w:pPr>
      <w:r>
        <w:rPr>
          <w:b/>
          <w:bCs/>
        </w:rPr>
        <w:t xml:space="preserve">Marriage to Foreign Women (vv. 11–12):</w:t>
      </w:r>
      <w:r>
        <w:t xml:space="preserve"> </w:t>
      </w:r>
      <w:r>
        <w:t xml:space="preserve">Some interpreters (certain Dispensational and some evangelical readings) spiritualize the intermarriage prohibition entirely, making it solely about spiritual contamination through false religion rather than about ethnic or covenant-community distinctness. The Reformed reading takes both dimensions seriously: the prohibition is</w:t>
      </w:r>
      <w:r>
        <w:t xml:space="preserve"> </w:t>
      </w:r>
      <w:r>
        <w:rPr>
          <w:i/>
          <w:iCs/>
        </w:rPr>
        <w:t xml:space="preserve">specifically</w:t>
      </w:r>
      <w:r>
        <w:t xml:space="preserve"> </w:t>
      </w:r>
      <w:r>
        <w:t xml:space="preserve">about the</w:t>
      </w:r>
      <w:r>
        <w:t xml:space="preserve"> </w:t>
      </w:r>
      <w:r>
        <w:t xml:space="preserve">“daughter of a foreign god”</w:t>
      </w:r>
      <w:r>
        <w:t xml:space="preserve"> </w:t>
      </w:r>
      <w:r>
        <w:t xml:space="preserve">(v. 11) — the issue is the worship system attached to the marriage, not ethnicity in the modern sense. The text is not a racial exclusion; it is a covenant-purity concern about whether Israel’s worship of YHWH will be compromised. The New Testament equivalent is</w:t>
      </w:r>
      <w:r>
        <w:t xml:space="preserve"> </w:t>
      </w:r>
      <w:r>
        <w:t xml:space="preserve">“Do not be unequally yoked with unbelievers”</w:t>
      </w:r>
      <w:r>
        <w:t xml:space="preserve"> </w:t>
      </w:r>
      <w:r>
        <w:t xml:space="preserve">(2 Corinthians 6:14), which retrieves this principle under the New Covenant with application to the entire believing community.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Numbers 25:10–13</w:t>
      </w:r>
      <w:r>
        <w:t xml:space="preserve"> </w:t>
      </w:r>
      <w:r>
        <w:t xml:space="preserve">— The covenant of peace with Phinehas establishes the model for the covenant with Levi that Malachi 2 says has been violated: a covenant of life, peace, and zeal for God’s honor. Malachi 2’s indictment is intelligible against this backdrop.</w:t>
      </w:r>
    </w:p>
    <w:p>
      <w:pPr>
        <w:numPr>
          <w:ilvl w:val="0"/>
          <w:numId w:val="1001"/>
        </w:numPr>
      </w:pPr>
      <w:r>
        <w:rPr>
          <w:b/>
          <w:bCs/>
        </w:rPr>
        <w:t xml:space="preserve">Deuteronomy 33:8–11</w:t>
      </w:r>
      <w:r>
        <w:t xml:space="preserve"> </w:t>
      </w:r>
      <w:r>
        <w:t xml:space="preserve">— Moses’ blessing of Levi defines the priestly vocation that Malachi 2:5–7 invokes: to guard God’s word, to teach Jacob His ordinances and Israel His law. The priests of Malachi’s day have failed at exactly the vocation Moses described.</w:t>
      </w:r>
    </w:p>
    <w:p>
      <w:pPr>
        <w:numPr>
          <w:ilvl w:val="0"/>
          <w:numId w:val="1001"/>
        </w:numPr>
      </w:pPr>
      <w:r>
        <w:rPr>
          <w:b/>
          <w:bCs/>
        </w:rPr>
        <w:t xml:space="preserve">Nehemiah 13:23–29</w:t>
      </w:r>
      <w:r>
        <w:t xml:space="preserve"> </w:t>
      </w:r>
      <w:r>
        <w:t xml:space="preserve">— Contemporary with or shortly before Malachi, Nehemiah’s confrontation with those who had intermarried with foreign women and compromised priestly genealogies provides the exact historical texture of Malachi 2:11–12. The two passages mutually illuminate each other.</w:t>
      </w:r>
    </w:p>
    <w:p>
      <w:pPr>
        <w:numPr>
          <w:ilvl w:val="0"/>
          <w:numId w:val="1001"/>
        </w:numPr>
      </w:pPr>
      <w:r>
        <w:rPr>
          <w:b/>
          <w:bCs/>
        </w:rPr>
        <w:t xml:space="preserve">Proverbs 2:16–17</w:t>
      </w:r>
      <w:r>
        <w:t xml:space="preserve"> </w:t>
      </w:r>
      <w:r>
        <w:t xml:space="preserve">— The adulteress who</w:t>
      </w:r>
      <w:r>
        <w:t xml:space="preserve"> </w:t>
      </w:r>
      <w:r>
        <w:t xml:space="preserve">“forsakes the companion of her youth and forgets the covenant of her God”</w:t>
      </w:r>
      <w:r>
        <w:t xml:space="preserve"> </w:t>
      </w:r>
      <w:r>
        <w:t xml:space="preserve">provides the Wisdom tradition’s parallel to Malachi 2’s marriage indictment: covenant faithfulness in marriage is not separable from covenant faithfulness to God.</w:t>
      </w:r>
    </w:p>
    <w:p>
      <w:pPr>
        <w:numPr>
          <w:ilvl w:val="0"/>
          <w:numId w:val="1001"/>
        </w:numPr>
      </w:pPr>
      <w:r>
        <w:rPr>
          <w:b/>
          <w:bCs/>
        </w:rPr>
        <w:t xml:space="preserve">James 3:1</w:t>
      </w:r>
      <w:r>
        <w:t xml:space="preserve"> </w:t>
      </w:r>
      <w:r>
        <w:t xml:space="preserve">—</w:t>
      </w:r>
      <w:r>
        <w:t xml:space="preserve"> </w:t>
      </w:r>
      <w:r>
        <w:t xml:space="preserve">“Not many of you should become teachers, my brothers, for you know that we who teach will be judged with greater strictness”</w:t>
      </w:r>
      <w:r>
        <w:t xml:space="preserve"> </w:t>
      </w:r>
      <w:r>
        <w:t xml:space="preserve">— the direct New Testament retrieval of the principle underlying Malachi 2:1–9: those who speak in God’s name bear a heavier covenantal accountability.</w:t>
      </w:r>
    </w:p>
    <w:p>
      <w:r>
        <w:pict>
          <v:rect style="width:0;height:1.5pt" o:hralign="center" o:hrstd="t" o:hr="t"/>
        </w:pict>
      </w:r>
    </w:p>
    <w:p>
      <w:pPr>
        <w:pStyle w:val="FirstParagraph"/>
      </w:pPr>
      <w:r>
        <w:rPr>
          <w:b/>
          <w:bCs/>
        </w:rPr>
        <w:t xml:space="preserve">Aim:</w:t>
      </w:r>
      <w:r>
        <w:t xml:space="preserve"> </w:t>
      </w:r>
      <w:r>
        <w:t xml:space="preserve">To expose the anatomy of covenant faithlessness — how it begins in leadership, spreads to the people, corrupts worship, and unravels the most intimate human covenant — and to call both leaders and people to the repentance and fear of God that covenant faithfulness requires.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God addresses the priests directly:</w:t>
            </w:r>
            <w:r>
              <w:t xml:space="preserve"> </w:t>
            </w:r>
            <w:r>
              <w:t xml:space="preserve">“this command is for you”</w:t>
            </w:r>
          </w:p>
        </w:tc>
        <w:tc>
          <w:tcPr/>
          <w:p>
            <w:pPr>
              <w:pStyle w:val="Compact"/>
            </w:pPr>
            <w:r>
              <w:t xml:space="preserve">Formal address, shifting from 1:14; the priests are specifically in view</w:t>
            </w:r>
          </w:p>
        </w:tc>
      </w:tr>
      <w:tr>
        <w:tc>
          <w:tcPr/>
          <w:p>
            <w:pPr>
              <w:pStyle w:val="Compact"/>
            </w:pPr>
            <w:r>
              <w:t xml:space="preserve">2</w:t>
            </w:r>
          </w:p>
        </w:tc>
        <w:tc>
          <w:tcPr/>
          <w:p>
            <w:pPr>
              <w:pStyle w:val="Compact"/>
            </w:pPr>
            <w:r>
              <w:t xml:space="preserve">Warning: if they do not listen and honor God’s name, the curse will fall — God will curse their blessings</w:t>
            </w:r>
          </w:p>
        </w:tc>
        <w:tc>
          <w:tcPr/>
          <w:p>
            <w:pPr>
              <w:pStyle w:val="Compact"/>
            </w:pPr>
            <w:r>
              <w:t xml:space="preserve">The reversal of blessing to curse is the covenant sanction of Deuteronomy 28 invoked</w:t>
            </w:r>
          </w:p>
        </w:tc>
      </w:tr>
      <w:tr>
        <w:tc>
          <w:tcPr/>
          <w:p>
            <w:pPr>
              <w:pStyle w:val="Compact"/>
            </w:pPr>
            <w:r>
              <w:t xml:space="preserve">3</w:t>
            </w:r>
          </w:p>
        </w:tc>
        <w:tc>
          <w:tcPr/>
          <w:p>
            <w:pPr>
              <w:pStyle w:val="Compact"/>
            </w:pPr>
            <w:r>
              <w:t xml:space="preserve">God will rebuke their offspring and spread dung on their faces — the refuse of their festival sacrifices</w:t>
            </w:r>
          </w:p>
        </w:tc>
        <w:tc>
          <w:tcPr/>
          <w:p>
            <w:pPr>
              <w:pStyle w:val="Compact"/>
            </w:pPr>
            <w:r>
              <w:t xml:space="preserve">Graphic covenant judgment language; the offerings they have offered come back on them</w:t>
            </w:r>
          </w:p>
        </w:tc>
      </w:tr>
      <w:tr>
        <w:tc>
          <w:tcPr/>
          <w:p>
            <w:pPr>
              <w:pStyle w:val="Compact"/>
            </w:pPr>
            <w:r>
              <w:t xml:space="preserve">4</w:t>
            </w:r>
          </w:p>
        </w:tc>
        <w:tc>
          <w:tcPr/>
          <w:p>
            <w:pPr>
              <w:pStyle w:val="Compact"/>
            </w:pPr>
            <w:r>
              <w:t xml:space="preserve">The purpose of the warning: that the covenant with Levi may continue</w:t>
            </w:r>
          </w:p>
        </w:tc>
        <w:tc>
          <w:tcPr/>
          <w:p>
            <w:pPr>
              <w:pStyle w:val="Compact"/>
            </w:pPr>
            <w:r>
              <w:t xml:space="preserve">God is not seeking destruction but restoration of the covenant</w:t>
            </w:r>
          </w:p>
        </w:tc>
      </w:tr>
      <w:tr>
        <w:tc>
          <w:tcPr/>
          <w:p>
            <w:pPr>
              <w:pStyle w:val="Compact"/>
            </w:pPr>
            <w:r>
              <w:t xml:space="preserve">5–6</w:t>
            </w:r>
          </w:p>
        </w:tc>
        <w:tc>
          <w:tcPr/>
          <w:p>
            <w:pPr>
              <w:pStyle w:val="Compact"/>
            </w:pPr>
            <w:r>
              <w:t xml:space="preserve">The positive model: the covenant with Levi — life, peace, fear, true instruction, walking with God, turning many from iniquity</w:t>
            </w:r>
          </w:p>
        </w:tc>
        <w:tc>
          <w:tcPr/>
          <w:p>
            <w:pPr>
              <w:pStyle w:val="Compact"/>
            </w:pPr>
            <w:r>
              <w:t xml:space="preserve">The standard by which the current priests are being measured; Levi is the model</w:t>
            </w:r>
          </w:p>
        </w:tc>
      </w:tr>
      <w:tr>
        <w:tc>
          <w:tcPr/>
          <w:p>
            <w:pPr>
              <w:pStyle w:val="Compact"/>
            </w:pPr>
            <w:r>
              <w:t xml:space="preserve">7</w:t>
            </w:r>
          </w:p>
        </w:tc>
        <w:tc>
          <w:tcPr/>
          <w:p>
            <w:pPr>
              <w:pStyle w:val="Compact"/>
            </w:pPr>
            <w:r>
              <w:t xml:space="preserve">The priest’s vocation: to guard knowledge, to be the messenger of the LORD of hosts</w:t>
            </w:r>
          </w:p>
        </w:tc>
        <w:tc>
          <w:tcPr/>
          <w:p>
            <w:pPr>
              <w:pStyle w:val="Compact"/>
            </w:pPr>
            <w:r>
              <w:t xml:space="preserve">“Messenger”</w:t>
            </w:r>
            <w:r>
              <w:t xml:space="preserve"> </w:t>
            </w:r>
            <w:r>
              <w:t xml:space="preserve">(mal’ak) — the same word as the book’s title; the priest’s vocational identity</w:t>
            </w:r>
          </w:p>
        </w:tc>
      </w:tr>
      <w:tr>
        <w:tc>
          <w:tcPr/>
          <w:p>
            <w:pPr>
              <w:pStyle w:val="Compact"/>
            </w:pPr>
            <w:r>
              <w:t xml:space="preserve">8</w:t>
            </w:r>
          </w:p>
        </w:tc>
        <w:tc>
          <w:tcPr/>
          <w:p>
            <w:pPr>
              <w:pStyle w:val="Compact"/>
            </w:pPr>
            <w:r>
              <w:t xml:space="preserve">The indictment: they have turned aside from the way, caused many to stumble, corrupted the covenant of Levi</w:t>
            </w:r>
          </w:p>
        </w:tc>
        <w:tc>
          <w:tcPr/>
          <w:p>
            <w:pPr>
              <w:pStyle w:val="Compact"/>
            </w:pPr>
            <w:r>
              <w:t xml:space="preserve">Three-part failure mirroring the three-part vocation of vv. 5–7</w:t>
            </w:r>
          </w:p>
        </w:tc>
      </w:tr>
      <w:tr>
        <w:tc>
          <w:tcPr/>
          <w:p>
            <w:pPr>
              <w:pStyle w:val="Compact"/>
            </w:pPr>
            <w:r>
              <w:t xml:space="preserve">9</w:t>
            </w:r>
          </w:p>
        </w:tc>
        <w:tc>
          <w:tcPr/>
          <w:p>
            <w:pPr>
              <w:pStyle w:val="Compact"/>
            </w:pPr>
            <w:r>
              <w:t xml:space="preserve">God’s response: making them despised and abased before all the people, as they have not kept His ways</w:t>
            </w:r>
          </w:p>
        </w:tc>
        <w:tc>
          <w:tcPr/>
          <w:p>
            <w:pPr>
              <w:pStyle w:val="Compact"/>
            </w:pPr>
            <w:r>
              <w:t xml:space="preserve">The measure of judgment matches the measure of failure; public dishonor for public failure</w:t>
            </w:r>
          </w:p>
        </w:tc>
      </w:tr>
      <w:tr>
        <w:tc>
          <w:tcPr/>
          <w:p>
            <w:pPr>
              <w:pStyle w:val="Compact"/>
            </w:pPr>
            <w:r>
              <w:t xml:space="preserve">10</w:t>
            </w:r>
          </w:p>
        </w:tc>
        <w:tc>
          <w:tcPr/>
          <w:p>
            <w:pPr>
              <w:pStyle w:val="Compact"/>
            </w:pPr>
            <w:r>
              <w:t xml:space="preserve">Rhetorical question: one Father, one Creator — why do we act treacherously against each other?</w:t>
            </w:r>
          </w:p>
        </w:tc>
        <w:tc>
          <w:tcPr/>
          <w:p>
            <w:pPr>
              <w:pStyle w:val="Compact"/>
            </w:pPr>
            <w:r>
              <w:t xml:space="preserve">Transition verse: pivots from priestly failure to people’s failure; grounds the indictment in covenant brotherhood</w:t>
            </w:r>
          </w:p>
        </w:tc>
      </w:tr>
      <w:tr>
        <w:tc>
          <w:tcPr/>
          <w:p>
            <w:pPr>
              <w:pStyle w:val="Compact"/>
            </w:pPr>
            <w:r>
              <w:t xml:space="preserve">11</w:t>
            </w:r>
          </w:p>
        </w:tc>
        <w:tc>
          <w:tcPr/>
          <w:p>
            <w:pPr>
              <w:pStyle w:val="Compact"/>
            </w:pPr>
            <w:r>
              <w:t xml:space="preserve">Judah has been faithless; abomination committed in Israel and Jerusalem — intermarriage with those devoted to a foreign god</w:t>
            </w:r>
          </w:p>
        </w:tc>
        <w:tc>
          <w:tcPr/>
          <w:p>
            <w:pPr>
              <w:pStyle w:val="Compact"/>
            </w:pPr>
            <w:r>
              <w:rPr>
                <w:i/>
                <w:iCs/>
              </w:rPr>
              <w:t xml:space="preserve">Bagad</w:t>
            </w:r>
            <w:r>
              <w:t xml:space="preserve"> </w:t>
            </w:r>
            <w:r>
              <w:t xml:space="preserve">(faithlessness) appears;</w:t>
            </w:r>
            <w:r>
              <w:t xml:space="preserve"> </w:t>
            </w:r>
            <w:r>
              <w:t xml:space="preserve">“profaned the sanctuary of the LORD”</w:t>
            </w:r>
            <w:r>
              <w:t xml:space="preserve"> </w:t>
            </w:r>
            <w:r>
              <w:t xml:space="preserve">— the offense reaches God’s dwelling</w:t>
            </w:r>
          </w:p>
        </w:tc>
      </w:tr>
      <w:tr>
        <w:tc>
          <w:tcPr/>
          <w:p>
            <w:pPr>
              <w:pStyle w:val="Compact"/>
            </w:pPr>
            <w:r>
              <w:t xml:space="preserve">12</w:t>
            </w:r>
          </w:p>
        </w:tc>
        <w:tc>
          <w:tcPr/>
          <w:p>
            <w:pPr>
              <w:pStyle w:val="Compact"/>
            </w:pPr>
            <w:r>
              <w:t xml:space="preserve">God will cut off the man who does this — even if he brings offerings to the LORD</w:t>
            </w:r>
          </w:p>
        </w:tc>
        <w:tc>
          <w:tcPr/>
          <w:p>
            <w:pPr>
              <w:pStyle w:val="Compact"/>
            </w:pPr>
            <w:r>
              <w:t xml:space="preserve">No compensating religiosity can cover covenant treachery</w:t>
            </w:r>
          </w:p>
        </w:tc>
      </w:tr>
      <w:tr>
        <w:tc>
          <w:tcPr/>
          <w:p>
            <w:pPr>
              <w:pStyle w:val="Compact"/>
            </w:pPr>
            <w:r>
              <w:t xml:space="preserve">13</w:t>
            </w:r>
          </w:p>
        </w:tc>
        <w:tc>
          <w:tcPr/>
          <w:p>
            <w:pPr>
              <w:pStyle w:val="Compact"/>
            </w:pPr>
            <w:r>
              <w:t xml:space="preserve">Second indictment: covering the altar with tears — weeping because God does not accept their offerings</w:t>
            </w:r>
          </w:p>
        </w:tc>
        <w:tc>
          <w:tcPr/>
          <w:p>
            <w:pPr>
              <w:pStyle w:val="Compact"/>
            </w:pPr>
            <w:r>
              <w:t xml:space="preserve">The people wonder why their worship is rejected; the answer follows</w:t>
            </w:r>
          </w:p>
        </w:tc>
      </w:tr>
      <w:tr>
        <w:tc>
          <w:tcPr/>
          <w:p>
            <w:pPr>
              <w:pStyle w:val="Compact"/>
            </w:pPr>
            <w:r>
              <w:t xml:space="preserve">14</w:t>
            </w:r>
          </w:p>
        </w:tc>
        <w:tc>
          <w:tcPr/>
          <w:p>
            <w:pPr>
              <w:pStyle w:val="Compact"/>
            </w:pPr>
            <w:r>
              <w:t xml:space="preserve">God’s answer: because you have been faithless to the wife of your youth, your companion, your covenant wife</w:t>
            </w:r>
          </w:p>
        </w:tc>
        <w:tc>
          <w:tcPr/>
          <w:p>
            <w:pPr>
              <w:pStyle w:val="Compact"/>
            </w:pPr>
            <w:r>
              <w:t xml:space="preserve">Three relational terms for the wife — companion, covenant, wife of youth — intensifying the weight of the treachery</w:t>
            </w:r>
          </w:p>
        </w:tc>
      </w:tr>
      <w:tr>
        <w:tc>
          <w:tcPr/>
          <w:p>
            <w:pPr>
              <w:pStyle w:val="Compact"/>
            </w:pPr>
            <w:r>
              <w:t xml:space="preserve">15</w:t>
            </w:r>
          </w:p>
        </w:tc>
        <w:tc>
          <w:tcPr/>
          <w:p>
            <w:pPr>
              <w:pStyle w:val="Compact"/>
            </w:pPr>
            <w:r>
              <w:t xml:space="preserve">God made husband and wife one — seeking godly offspring; therefore guard yourselves and do not be faithless</w:t>
            </w:r>
          </w:p>
        </w:tc>
        <w:tc>
          <w:tcPr/>
          <w:p>
            <w:pPr>
              <w:pStyle w:val="Compact"/>
            </w:pPr>
            <w:r>
              <w:t xml:space="preserve">The creational and covenantal purpose of marriage is at stake; children are mentioned — generational consequence</w:t>
            </w:r>
          </w:p>
        </w:tc>
      </w:tr>
      <w:tr>
        <w:tc>
          <w:tcPr/>
          <w:p>
            <w:pPr>
              <w:pStyle w:val="Compact"/>
            </w:pPr>
            <w:r>
              <w:t xml:space="preserve">16</w:t>
            </w:r>
          </w:p>
        </w:tc>
        <w:tc>
          <w:tcPr/>
          <w:p>
            <w:pPr>
              <w:pStyle w:val="Compact"/>
            </w:pPr>
            <w:r>
              <w:t xml:space="preserve">“For I hate divorce”</w:t>
            </w:r>
            <w:r>
              <w:t xml:space="preserve"> </w:t>
            </w:r>
            <w:r>
              <w:t xml:space="preserve">/</w:t>
            </w:r>
            <w:r>
              <w:t xml:space="preserve"> </w:t>
            </w:r>
            <w:r>
              <w:t xml:space="preserve">“if he hates and divorces”</w:t>
            </w:r>
            <w:r>
              <w:t xml:space="preserve"> </w:t>
            </w:r>
            <w:r>
              <w:t xml:space="preserve">— and covering one’s garment with violence</w:t>
            </w:r>
          </w:p>
        </w:tc>
        <w:tc>
          <w:tcPr/>
          <w:p>
            <w:pPr>
              <w:pStyle w:val="Compact"/>
            </w:pPr>
            <w:r>
              <w:t xml:space="preserve">Textual crux (see Interpretive Evaluation);</w:t>
            </w:r>
            <w:r>
              <w:t xml:space="preserve"> </w:t>
            </w:r>
            <w:r>
              <w:t xml:space="preserve">“violence”</w:t>
            </w:r>
            <w:r>
              <w:t xml:space="preserve"> </w:t>
            </w:r>
            <w:r>
              <w:t xml:space="preserve">(</w:t>
            </w:r>
            <w:r>
              <w:rPr>
                <w:i/>
                <w:iCs/>
              </w:rPr>
              <w:t xml:space="preserve">ḥāmās</w:t>
            </w:r>
            <w:r>
              <w:t xml:space="preserve">) is a strong term, used of severe injustice</w:t>
            </w:r>
          </w:p>
        </w:tc>
      </w:tr>
      <w:tr>
        <w:tc>
          <w:tcPr/>
          <w:p>
            <w:pPr>
              <w:pStyle w:val="Compact"/>
            </w:pPr>
            <w:r>
              <w:t xml:space="preserve">16b</w:t>
            </w:r>
          </w:p>
        </w:tc>
        <w:tc>
          <w:tcPr/>
          <w:p>
            <w:pPr>
              <w:pStyle w:val="Compact"/>
            </w:pPr>
            <w:r>
              <w:t xml:space="preserve">“Guard yourselves in your spirit and do not be faithless”</w:t>
            </w:r>
          </w:p>
        </w:tc>
        <w:tc>
          <w:tcPr/>
          <w:p>
            <w:pPr>
              <w:pStyle w:val="Compact"/>
            </w:pPr>
            <w:r>
              <w:t xml:space="preserve">Closing imperative — repeated from v. 15; the application is internal before it is behavioral</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1–9</w:t>
            </w:r>
          </w:p>
        </w:tc>
        <w:tc>
          <w:tcPr/>
          <w:p>
            <w:pPr>
              <w:pStyle w:val="Compact"/>
            </w:pPr>
            <w:r>
              <w:t xml:space="preserve">The Faithless Priest: Vocation Abandoned, Covenant Revoked</w:t>
            </w:r>
          </w:p>
        </w:tc>
      </w:tr>
      <w:tr>
        <w:tc>
          <w:tcPr/>
          <w:p>
            <w:pPr>
              <w:pStyle w:val="Compact"/>
            </w:pPr>
            <w:r>
              <w:t xml:space="preserve">2</w:t>
            </w:r>
          </w:p>
        </w:tc>
        <w:tc>
          <w:tcPr/>
          <w:p>
            <w:pPr>
              <w:pStyle w:val="Compact"/>
            </w:pPr>
            <w:r>
              <w:t xml:space="preserve">10–12</w:t>
            </w:r>
          </w:p>
        </w:tc>
        <w:tc>
          <w:tcPr/>
          <w:p>
            <w:pPr>
              <w:pStyle w:val="Compact"/>
            </w:pPr>
            <w:r>
              <w:t xml:space="preserve">The Faithless People: Covenant Brotherhood Betrayed in Marriage</w:t>
            </w:r>
          </w:p>
        </w:tc>
      </w:tr>
      <w:tr>
        <w:tc>
          <w:tcPr/>
          <w:p>
            <w:pPr>
              <w:pStyle w:val="Compact"/>
            </w:pPr>
            <w:r>
              <w:t xml:space="preserve">3</w:t>
            </w:r>
          </w:p>
        </w:tc>
        <w:tc>
          <w:tcPr/>
          <w:p>
            <w:pPr>
              <w:pStyle w:val="Compact"/>
            </w:pPr>
            <w:r>
              <w:t xml:space="preserve">13–16</w:t>
            </w:r>
          </w:p>
        </w:tc>
        <w:tc>
          <w:tcPr/>
          <w:p>
            <w:pPr>
              <w:pStyle w:val="Compact"/>
            </w:pPr>
            <w:r>
              <w:t xml:space="preserve">The Faithless Husband: The Wife of Your Youth, the Covenant You Abandoned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Covenant faithlessness corrupts Israel from the priesthood outward and from the altar into marriage.</w:t>
      </w:r>
    </w:p>
    <w:p>
      <w:pPr>
        <w:pStyle w:val="BodyText"/>
      </w:pPr>
      <w:r>
        <w:rPr>
          <w:b/>
          <w:bCs/>
        </w:rPr>
        <w:t xml:space="preserve">Primary Claim:</w:t>
      </w:r>
      <w:r>
        <w:t xml:space="preserve"> </w:t>
      </w:r>
      <w:r>
        <w:t xml:space="preserve">God confronts cascading covenant faithlessness — in priest and people alike — because faithlessness is never contained: it spreads, it defiles, and it invites judgment unless it is named, owned, and repented of.</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Understand that faithlessness in leadership is never a private leadership failure.</w:t>
      </w:r>
      <w:r>
        <w:t xml:space="preserve"> </w:t>
      </w:r>
      <w:r>
        <w:t xml:space="preserve">The priests of Malachi 2 did not think their partiality in instruction and their diminished fear of God were catastrophic. They were still performing the liturgical functions. But God says they had caused</w:t>
      </w:r>
      <w:r>
        <w:t xml:space="preserve"> </w:t>
      </w:r>
      <w:r>
        <w:t xml:space="preserve">“many to stumble”</w:t>
      </w:r>
      <w:r>
        <w:t xml:space="preserve"> </w:t>
      </w:r>
      <w:r>
        <w:t xml:space="preserve">(v. 8) — their private spiritual drift produced public spiritual wreckage. Every person in any teaching or shepherding role must reckon honestly with this: the drift of a leader does not stay with the leader. It travels downstream through every person who receives instruction, counsel, or example from that leader. The question is not only</w:t>
      </w:r>
      <w:r>
        <w:t xml:space="preserve"> </w:t>
      </w:r>
      <w:r>
        <w:t xml:space="preserve">“Am I holding up?”</w:t>
      </w:r>
      <w:r>
        <w:t xml:space="preserve"> </w:t>
      </w:r>
      <w:r>
        <w:t xml:space="preserve">but</w:t>
      </w:r>
      <w:r>
        <w:t xml:space="preserve"> </w:t>
      </w:r>
      <w:r>
        <w:t xml:space="preserve">“Where is my current level of fear toward God actually taking those who follow my teaching?”</w:t>
      </w:r>
    </w:p>
    <w:p>
      <w:pPr>
        <w:pStyle w:val="BodyText"/>
      </w:pPr>
      <w:r>
        <w:rPr>
          <w:b/>
          <w:bCs/>
        </w:rPr>
        <w:t xml:space="preserve">2. (Affections/Worship) — Let the grief of God over faithlessness recalibrate what you feel about your own drift.</w:t>
      </w:r>
      <w:r>
        <w:t xml:space="preserve"> </w:t>
      </w:r>
      <w:r>
        <w:t xml:space="preserve">The passage opens with God saying that the priests have</w:t>
      </w:r>
      <w:r>
        <w:t xml:space="preserve"> </w:t>
      </w:r>
      <w:r>
        <w:t xml:space="preserve">“not laid it to heart to give honor to my name”</w:t>
      </w:r>
      <w:r>
        <w:t xml:space="preserve"> </w:t>
      </w:r>
      <w:r>
        <w:t xml:space="preserve">(v. 2). The Hebrew phrase for</w:t>
      </w:r>
      <w:r>
        <w:t xml:space="preserve"> </w:t>
      </w:r>
      <w:r>
        <w:t xml:space="preserve">“laid it to heart”</w:t>
      </w:r>
      <w:r>
        <w:t xml:space="preserve"> </w:t>
      </w:r>
      <w:r>
        <w:t xml:space="preserve">(</w:t>
      </w:r>
      <w:r>
        <w:rPr>
          <w:i/>
          <w:iCs/>
        </w:rPr>
        <w:t xml:space="preserve">śîm lēb</w:t>
      </w:r>
      <w:r>
        <w:t xml:space="preserve">) is the language of deep, attentive concern — the kind of weight you carry because something genuinely matters to you. God is grieved not merely that the priests are behaving wrongly but that they have lost the affective attentiveness that makes covenant faithfulness possible in the first place. Ask honestly: what grieves me about my own spiritual drift? Does the weight of faithlessness — in worship, in marriage, in my speech about God — actually land on me as something serious? Or have I, like Israel, drifted into a place where my own unfaithfulness no longer registers as painful?</w:t>
      </w:r>
    </w:p>
    <w:p>
      <w:pPr>
        <w:pStyle w:val="BodyText"/>
      </w:pPr>
      <w:r>
        <w:rPr>
          <w:b/>
          <w:bCs/>
        </w:rPr>
        <w:t xml:space="preserve">3. (Mind/Belief) — Recover the priestly vocation of any who speak for God: guard knowledge, teach truly, and turn people toward God.</w:t>
      </w:r>
      <w:r>
        <w:t xml:space="preserve"> </w:t>
      </w:r>
      <w:r>
        <w:t xml:space="preserve">Malachi 2:7 is one of Scripture’s clearest statements of what teaching office is for:</w:t>
      </w:r>
      <w:r>
        <w:t xml:space="preserve"> </w:t>
      </w:r>
      <w:r>
        <w:t xml:space="preserve">“the lips of a priest should guard knowledge, and people should seek instruction from his mouth, for he is the messenger of the LORD of hosts.”</w:t>
      </w:r>
      <w:r>
        <w:t xml:space="preserve"> </w:t>
      </w:r>
      <w:r>
        <w:t xml:space="preserve">This is not unique to Old Testament priests. Every elder, pastor, teacher, parent, or small group leader who opens Scripture is functioning in an analogous role. The standard is clear: guard the knowledge of God (do not let error in unchallenged), teach truly (not with partiality or people-pleasing), and make it your goal that people walk away knowing more of God and less entrapped by iniquity. The terrifying corollary — which Malachi makes explicit — is that those who hold this role and fail it become agents of stumbling rather than turning.</w:t>
      </w:r>
    </w:p>
    <w:p>
      <w:pPr>
        <w:pStyle w:val="BodyText"/>
      </w:pPr>
      <w:r>
        <w:rPr>
          <w:b/>
          <w:bCs/>
        </w:rPr>
        <w:t xml:space="preserve">4. (Will/Behavior) — Guard your spirit in the covenant of marriage before you act, not after the damage is done.</w:t>
      </w:r>
      <w:r>
        <w:t xml:space="preserve"> </w:t>
      </w:r>
      <w:r>
        <w:t xml:space="preserve">The closing imperative of the chapter is striking in its location:</w:t>
      </w:r>
      <w:r>
        <w:t xml:space="preserve"> </w:t>
      </w:r>
      <w:r>
        <w:t xml:space="preserve">“guard yourselves in your spirit”</w:t>
      </w:r>
      <w:r>
        <w:t xml:space="preserve"> </w:t>
      </w:r>
      <w:r>
        <w:t xml:space="preserve">(vv. 15, 16). The command is internal before it is behavioral — which means the guard is meant to be placed</w:t>
      </w:r>
      <w:r>
        <w:t xml:space="preserve"> </w:t>
      </w:r>
      <w:r>
        <w:rPr>
          <w:i/>
          <w:iCs/>
        </w:rPr>
        <w:t xml:space="preserve">upstream</w:t>
      </w:r>
      <w:r>
        <w:t xml:space="preserve"> </w:t>
      </w:r>
      <w:r>
        <w:t xml:space="preserve">of the action. Divorce in Malachi is the end of a long drift inward that the husband had not guarded. The application is not merely</w:t>
      </w:r>
      <w:r>
        <w:t xml:space="preserve"> </w:t>
      </w:r>
      <w:r>
        <w:t xml:space="preserve">“do not divorce”</w:t>
      </w:r>
      <w:r>
        <w:t xml:space="preserve"> </w:t>
      </w:r>
      <w:r>
        <w:t xml:space="preserve">as a behavioral rule. It is: attend to the state of your spirit toward your spouse. The treachery that ends marriages begins in small, unguarded movements of the heart — contempt that is not named and repented of, distance that is not pursued and closed, a hardness that hardens further because no one guards the door. The command is to guard now, not to manage the consequences later.</w:t>
      </w:r>
    </w:p>
    <w:p>
      <w:pPr>
        <w:pStyle w:val="BodyText"/>
      </w:pPr>
      <w:r>
        <w:rPr>
          <w:b/>
          <w:bCs/>
        </w:rPr>
        <w:t xml:space="preserve">5. (Affections/Worship) — Let the exposure of your own faithlessness drive you not to despair but to the God who names it in order to restore it.</w:t>
      </w:r>
      <w:r>
        <w:t xml:space="preserve"> </w:t>
      </w:r>
      <w:r>
        <w:t xml:space="preserve">Malachi 2 is a devastating indictment — priests cursed, offerings refused, marriages broken, covenant profaned. But the passage is not written to destroy; it is written to awaken. God says in verse 4 that the warning about the covenant with Levi is given</w:t>
      </w:r>
      <w:r>
        <w:t xml:space="preserve"> </w:t>
      </w:r>
      <w:r>
        <w:t xml:space="preserve">“so that my covenant with Levi may continue”</w:t>
      </w:r>
      <w:r>
        <w:t xml:space="preserve"> </w:t>
      </w:r>
      <w:r>
        <w:t xml:space="preserve">— the purpose of judgment-language is the preservation of the covenant relationship, not its termination. This is the shape of God’s confrontation throughout Scripture: He names the faithlessness with searing clarity</w:t>
      </w:r>
      <w:r>
        <w:t xml:space="preserve"> </w:t>
      </w:r>
      <w:r>
        <w:rPr>
          <w:i/>
          <w:iCs/>
        </w:rPr>
        <w:t xml:space="preserve">because</w:t>
      </w:r>
      <w:r>
        <w:t xml:space="preserve"> </w:t>
      </w:r>
      <w:r>
        <w:t xml:space="preserve">He has not yet given up. The response to being confronted by this passage is not despair at how comprehensively you have failed — it is the sober, specific grief of a covenant partner who has been caught, who owns the charge, and who returns to the One who names the failure in order to offer restoration.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Malachi 2 teaches that God takes covenant seriously at every level of Israel’s life — from the priest’s posture in the sanctuary to the husband’s posture toward his wife. The passage establishes that God’s covenant is not merely a set of rules but a living relational bond, and that faithlessness (</w:t>
      </w:r>
      <w:r>
        <w:rPr>
          <w:i/>
          <w:iCs/>
        </w:rPr>
        <w:t xml:space="preserve">bagad</w:t>
      </w:r>
      <w:r>
        <w:t xml:space="preserve">) is the term for any action that treats that bond as disposable. The theological weight of the passage falls on the interconnectedness of all covenant obligations: how one relates to God in worship shapes how one relates to one’s spouse; how leaders relate to God in teaching shapes how the people relate to God at all. There is no private sphere where faithlessness is harmless. God also reveals Himself here as a God who holds authority figures to greater accountability (vv. 1–9) — leadership is not a privilege that shields from judgment but a responsibility that intensifies it.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theologically significant for Reformed exposition in at least three ways. First, it grounds the doctrine of the means of grace in the covenantal vocation of those who teach: the Word does not travel faithfully to God’s people apart from teachers who fear God, guard knowledge, and teach without partiality. The failure of preaching is never merely intellectual — it is always also a failure of the fear of God in the preacher. Second, the passage demonstrates that covenant faithfulness is holistic and integrative: the Reformed understanding of the covenant of grace as encompassing all of life — worship, work, family — is not an abstract systematizing but reflects the actual texture of Scripture’s concern, as Malachi 2 shows in its movement from altar to marriage bed. Third, the passage anticipates the New Covenant logic of Jeremiah 31 and Hebrews 8: the reason the old covenant priests kept failing was a failure of the heart (</w:t>
      </w:r>
      <w:r>
        <w:rPr>
          <w:i/>
          <w:iCs/>
        </w:rPr>
        <w:t xml:space="preserve">lēb</w:t>
      </w:r>
      <w:r>
        <w:t xml:space="preserve">) — which is exactly what the New Covenant promises to address by writing the law on the heart. Malachi 2’s indictment is not the last word; it is a cry for the covenant whose terms will be internalized rather than merely imposed.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Faithlessness is not a contained failure — it spreads from leaders to people, from the altar to the home, and from the surface of behavior down into the spirit. God names it here with precision not to condemn without hope but to arrest the drift before it becomes irreversible. If you hold any teaching role, fear God and teach truly. If you are in a covenant marriage, guard your spirit now — before the distance becomes a gulf. And if you recognize yourself in this passage’s indictment, take the recognition itself as evidence that the God who confronts you has not yet let you go.</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two halves of the chapter as two separate sermons without noting their structural unity.</w:t>
      </w:r>
      <w:r>
        <w:t xml:space="preserve"> </w:t>
      </w:r>
      <w:r>
        <w:t xml:space="preserve">The pivot from priestly faithlessness (vv. 1–9) to marital faithlessness (vv. 10–16) is not an accident of editorial arrangement — it is the point. Faithlessness cascades. A preacher who handles only the marriage section has missed the interpretive key to why the marriage section is placed</w:t>
      </w:r>
      <w:r>
        <w:t xml:space="preserve"> </w:t>
      </w:r>
      <w:r>
        <w:rPr>
          <w:i/>
          <w:iCs/>
        </w:rPr>
        <w:t xml:space="preserve">after</w:t>
      </w:r>
      <w:r>
        <w:t xml:space="preserve"> </w:t>
      </w:r>
      <w:r>
        <w:t xml:space="preserve">the priestly section. Israel’s domestic covenant failures follow directly from their leadership’s covenant failures. Exposit the unity before pressing the applications of each half.</w:t>
      </w:r>
    </w:p>
    <w:p>
      <w:pPr>
        <w:numPr>
          <w:ilvl w:val="0"/>
          <w:numId w:val="1002"/>
        </w:numPr>
      </w:pPr>
      <w:r>
        <w:rPr>
          <w:b/>
          <w:bCs/>
        </w:rPr>
        <w:t xml:space="preserve">Preaching verse 16 as a simple proof-text for a no-exception divorce ethic without engaging the textual variant.</w:t>
      </w:r>
      <w:r>
        <w:t xml:space="preserve"> </w:t>
      </w:r>
      <w:r>
        <w:t xml:space="preserve">“God hates divorce”</w:t>
      </w:r>
      <w:r>
        <w:t xml:space="preserve"> </w:t>
      </w:r>
      <w:r>
        <w:t xml:space="preserve">is a theologically true statement — but (a) the textual situation at Malachi 2:16 is more complex than a simple citation allows, and (b) even the traditional rendering does not constitute a standalone biblical theology of divorce and remarriage. A preacher who cites this verse as the final word on divorce has extracted a phrase from a passage that is actually doing something more specific: confronting covenant treachery in a particular community context. Treat it with the care it deserves.</w:t>
      </w:r>
    </w:p>
    <w:p>
      <w:pPr>
        <w:numPr>
          <w:ilvl w:val="0"/>
          <w:numId w:val="1002"/>
        </w:numPr>
      </w:pPr>
      <w:r>
        <w:rPr>
          <w:b/>
          <w:bCs/>
        </w:rPr>
        <w:t xml:space="preserve">Applying the priestly indictment (vv. 1–9) only to ordained clergy, thereby insulating the congregation from its force.</w:t>
      </w:r>
      <w:r>
        <w:t xml:space="preserve"> </w:t>
      </w:r>
      <w:r>
        <w:t xml:space="preserve">The principle of vocational accountability before God — that those who speak in God’s name bear greater responsibility for what their teaching produces — applies to every parent who teaches children Scripture, every small group leader, every Sunday school teacher, every mentor. James 3:1 confirms that the New Testament explicitly extends this principle beyond ordained office. Preach it with that breadth.</w:t>
      </w:r>
    </w:p>
    <w:p>
      <w:pPr>
        <w:numPr>
          <w:ilvl w:val="0"/>
          <w:numId w:val="1002"/>
        </w:numPr>
      </w:pPr>
      <w:r>
        <w:rPr>
          <w:b/>
          <w:bCs/>
        </w:rPr>
        <w:t xml:space="preserve">Reducing the application of the marriage section to</w:t>
      </w:r>
      <w:r>
        <w:rPr>
          <w:b/>
          <w:bCs/>
        </w:rPr>
        <w:t xml:space="preserve"> </w:t>
      </w:r>
      <w:r>
        <w:rPr>
          <w:b/>
          <w:bCs/>
        </w:rPr>
        <w:t xml:space="preserve">“don’t get divorced”</w:t>
      </w:r>
      <w:r>
        <w:rPr>
          <w:b/>
          <w:bCs/>
        </w:rPr>
        <w:t xml:space="preserve"> </w:t>
      </w:r>
      <w:r>
        <w:rPr>
          <w:b/>
          <w:bCs/>
        </w:rPr>
        <w:t xml:space="preserve">without engaging the internal command of verses 15–16:</w:t>
      </w:r>
      <w:r>
        <w:rPr>
          <w:b/>
          <w:bCs/>
        </w:rPr>
        <w:t xml:space="preserve"> </w:t>
      </w:r>
      <w:r>
        <w:rPr>
          <w:b/>
          <w:bCs/>
        </w:rPr>
        <w:t xml:space="preserve">“guard yourselves in your spirit.”</w:t>
      </w:r>
      <w:r>
        <w:t xml:space="preserve"> </w:t>
      </w:r>
      <w:r>
        <w:t xml:space="preserve">Behavioral compliance with marriage permanence is not the goal Malachi sets. The goal is the guarded spirit — the internal attentiveness to the state of one’s heart toward one’s spouse. A sermon that ends with</w:t>
      </w:r>
      <w:r>
        <w:t xml:space="preserve"> </w:t>
      </w:r>
      <w:r>
        <w:t xml:space="preserve">“stay married”</w:t>
      </w:r>
      <w:r>
        <w:t xml:space="preserve"> </w:t>
      </w:r>
      <w:r>
        <w:t xml:space="preserve">has not yet reached the passage’s actual target. A sermon that presses the question</w:t>
      </w:r>
      <w:r>
        <w:t xml:space="preserve"> </w:t>
      </w:r>
      <w:r>
        <w:t xml:space="preserve">“what does your spirit toward your spouse look like right now, today?”</w:t>
      </w:r>
      <w:r>
        <w:t xml:space="preserve"> </w:t>
      </w:r>
      <w:r>
        <w:t xml:space="preserve">is closer.</w:t>
      </w:r>
    </w:p>
    <w:p>
      <w:pPr>
        <w:numPr>
          <w:ilvl w:val="0"/>
          <w:numId w:val="1002"/>
        </w:numPr>
      </w:pPr>
      <w:r>
        <w:rPr>
          <w:b/>
          <w:bCs/>
        </w:rPr>
        <w:t xml:space="preserve">Missing the christological trajectory of the passage.</w:t>
      </w:r>
      <w:r>
        <w:t xml:space="preserve"> </w:t>
      </w:r>
      <w:r>
        <w:t xml:space="preserve">Malachi 2:7 calls the priest</w:t>
      </w:r>
      <w:r>
        <w:t xml:space="preserve"> </w:t>
      </w:r>
      <w:r>
        <w:t xml:space="preserve">“the messenger of the LORD of hosts”</w:t>
      </w:r>
      <w:r>
        <w:t xml:space="preserve"> </w:t>
      </w:r>
      <w:r>
        <w:t xml:space="preserve">— the same term (mal’ak) that will appear in 3:1 as the one God will send to prepare the way. The priestly failure of Malachi 2 creates the void that the coming messenger will fill. The priests did not guard knowledge faithfully, but the One who is coming will bring the covenant in His own person. A fully Reformed exposition will name this trajectory — not as an allegory but as a genuine canonical vector: Christ fulfills the priestly vocation that Israel’s priests abandoned.</w:t>
      </w:r>
    </w:p>
    <w:p>
      <w:pPr>
        <w:numPr>
          <w:ilvl w:val="0"/>
          <w:numId w:val="1002"/>
        </w:numPr>
      </w:pPr>
      <w:r>
        <w:rPr>
          <w:b/>
          <w:bCs/>
        </w:rPr>
        <w:t xml:space="preserve">Handling the</w:t>
      </w:r>
      <w:r>
        <w:rPr>
          <w:b/>
          <w:bCs/>
        </w:rPr>
        <w:t xml:space="preserve"> </w:t>
      </w:r>
      <w:r>
        <w:rPr>
          <w:b/>
          <w:bCs/>
        </w:rPr>
        <w:t xml:space="preserve">“one Father, one Creator”</w:t>
      </w:r>
      <w:r>
        <w:rPr>
          <w:b/>
          <w:bCs/>
        </w:rPr>
        <w:t xml:space="preserve"> </w:t>
      </w:r>
      <w:r>
        <w:rPr>
          <w:b/>
          <w:bCs/>
        </w:rPr>
        <w:t xml:space="preserve">language of verse 10 as a platform for a generic sermon on racial reconciliation or human solidarity.</w:t>
      </w:r>
      <w:r>
        <w:t xml:space="preserve"> </w:t>
      </w:r>
      <w:r>
        <w:t xml:space="preserve">The passage’s concern is covenant brotherhood within the community of Israel — the treachery being named is the betrayal of covenant-family bonds, not generic interpersonal unkindness. While the New Testament does extend covenant-community solidarity across ethnic lines, importing that move back into Malachi 2:10 without exegetical grounding replaces the text’s actual claim with a contemporary application agenda. Preach what the text says before pressing what it implies.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2026-07-14T21:07:01Z</dcterms:created>
  <dcterms:modified xsi:type="dcterms:W3CDTF">2026-07-14T21:07:01Z</dcterms:modified>
</cp:coreProperties>
</file>

<file path=docProps/custom.xml><?xml version="1.0" encoding="utf-8"?>
<Properties xmlns="http://schemas.openxmlformats.org/officeDocument/2006/custom-properties" xmlns:vt="http://schemas.openxmlformats.org/officeDocument/2006/docPropsVTypes"/>
</file>